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44"/>
          <w:szCs w:val="44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44"/>
          <w:szCs w:val="44"/>
          <w:shd w:val="clear" w:fill="FFFFFF"/>
        </w:rPr>
        <w:t>“推普周”</w:t>
      </w:r>
      <w:bookmarkStart w:id="0" w:name="_GoBack"/>
      <w:r>
        <w:rPr>
          <w:rFonts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44"/>
          <w:szCs w:val="44"/>
          <w:shd w:val="clear" w:fill="FFFFFF"/>
        </w:rPr>
        <w:t>活动宣传标语</w:t>
      </w:r>
    </w:p>
    <w:bookmarkEnd w:id="0"/>
    <w:p>
      <w:pPr>
        <w:numPr>
          <w:ilvl w:val="0"/>
          <w:numId w:val="1"/>
        </w:numPr>
        <w:shd w:val="clear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说好普通话，迈进新时代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hd w:val="clear"/>
        <w:ind w:left="0" w:leftChars="0" w:firstLine="0" w:firstLineChars="0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大力推广和规范使用国家通用语言文字，自觉传承弘扬中华优秀传统文化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hd w:val="clear"/>
        <w:ind w:left="0" w:leftChars="0" w:firstLine="0" w:firstLineChars="0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大力推行和规范使用国家通用语言文字，助力全面建成小康社会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hd w:val="clear"/>
        <w:ind w:left="0" w:leftChars="0" w:firstLine="0" w:firstLineChars="0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依法推广普通话，提升国家软实力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hd w:val="clear"/>
        <w:ind w:left="0" w:leftChars="0" w:firstLine="0" w:firstLineChars="0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积极普及民族共同语，增强中华民族凝聚力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hd w:val="clear"/>
        <w:ind w:left="0" w:leftChars="0" w:firstLine="0" w:firstLineChars="0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树立语言规范意识，提高民族文化素质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hd w:val="clear"/>
        <w:ind w:left="0" w:leftChars="0" w:firstLine="0" w:firstLineChars="0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用普通话诵读经典，写规范字传承文明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hd w:val="clear"/>
        <w:ind w:left="0" w:leftChars="0" w:firstLine="0" w:firstLineChars="0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说好普通话，写好规范字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shd w:val="clear"/>
        <w:ind w:left="0" w:leftChars="0" w:firstLine="0" w:firstLineChars="0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说好普通话，圆梦你我他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numId w:val="0"/>
        </w:numPr>
        <w:shd w:val="clear"/>
        <w:ind w:leftChars="0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10.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说好普通话，方便你我他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numId w:val="0"/>
        </w:numPr>
        <w:shd w:val="clear"/>
        <w:ind w:leftChars="0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11.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说好普通话，朋友遍天下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numId w:val="0"/>
        </w:numPr>
        <w:shd w:val="clear"/>
        <w:ind w:leftChars="0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12.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推广普通话，公务员要带头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numId w:val="0"/>
        </w:numPr>
        <w:shd w:val="clear"/>
        <w:ind w:leftChars="0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13．推广普及普通话，学校是基础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numId w:val="0"/>
        </w:numPr>
        <w:shd w:val="clear"/>
        <w:ind w:leftChars="0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14.普通话是我们的校园语言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numId w:val="0"/>
        </w:numPr>
        <w:shd w:val="clear"/>
        <w:ind w:leftChars="0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15.普及普通话要从幼儿抓起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numId w:val="0"/>
        </w:numPr>
        <w:shd w:val="clear"/>
        <w:ind w:leftChars="0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16.规范使用语言，实现顺畅交流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numId w:val="0"/>
        </w:numPr>
        <w:shd w:val="clear"/>
        <w:ind w:leftChars="0"/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1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.沟通——从普通话开始。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7EEE"/>
    <w:multiLevelType w:val="singleLevel"/>
    <w:tmpl w:val="402B7E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27D2C"/>
    <w:rsid w:val="61B27D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2019-11-26T06:41:00Z</dcterms:created>
  <dc:creator>zcp</dc:creator>
  <cp:lastModifiedBy>zcp</cp:lastModifiedBy>
  <dcterms:modified xsi:type="dcterms:W3CDTF">2019-11-26T06:46:26Z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